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F" w:rsidRDefault="008765FF" w:rsidP="008765FF">
      <w:pPr>
        <w:ind w:left="11340"/>
        <w:jc w:val="center"/>
        <w:rPr>
          <w:sz w:val="26"/>
          <w:szCs w:val="26"/>
        </w:rPr>
      </w:pPr>
      <w:r w:rsidRPr="00C43E00">
        <w:rPr>
          <w:sz w:val="26"/>
          <w:szCs w:val="26"/>
        </w:rPr>
        <w:t>У</w:t>
      </w:r>
      <w:r>
        <w:rPr>
          <w:sz w:val="26"/>
          <w:szCs w:val="26"/>
        </w:rPr>
        <w:t xml:space="preserve">ТВЕРЖДЕН </w:t>
      </w:r>
    </w:p>
    <w:p w:rsidR="008765FF" w:rsidRDefault="008765FF" w:rsidP="008765FF">
      <w:pPr>
        <w:ind w:left="113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инспекции государственного строительного надзора Калужской области </w:t>
      </w:r>
    </w:p>
    <w:p w:rsidR="000A57DD" w:rsidRDefault="008765FF" w:rsidP="008765FF">
      <w:pPr>
        <w:ind w:left="11340"/>
        <w:jc w:val="center"/>
        <w:rPr>
          <w:sz w:val="26"/>
          <w:szCs w:val="26"/>
        </w:rPr>
      </w:pPr>
      <w:r>
        <w:rPr>
          <w:sz w:val="26"/>
          <w:szCs w:val="26"/>
        </w:rPr>
        <w:t>от «30» декабря 2020 года № 52</w:t>
      </w:r>
      <w:bookmarkStart w:id="0" w:name="_GoBack"/>
      <w:bookmarkEnd w:id="0"/>
    </w:p>
    <w:p w:rsidR="000A57DD" w:rsidRDefault="000A57DD" w:rsidP="000A57DD">
      <w:pPr>
        <w:ind w:firstLine="709"/>
        <w:jc w:val="center"/>
        <w:rPr>
          <w:b/>
          <w:sz w:val="26"/>
          <w:szCs w:val="26"/>
        </w:rPr>
      </w:pPr>
    </w:p>
    <w:p w:rsidR="000A57DD" w:rsidRDefault="000A57DD" w:rsidP="000A57DD">
      <w:pPr>
        <w:ind w:firstLine="709"/>
        <w:jc w:val="center"/>
        <w:rPr>
          <w:b/>
          <w:sz w:val="26"/>
          <w:szCs w:val="26"/>
        </w:rPr>
      </w:pPr>
    </w:p>
    <w:p w:rsidR="000A57DD" w:rsidRPr="00D27CB9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eastAsia="ru-RU"/>
        </w:rPr>
      </w:pPr>
      <w:r w:rsidRPr="00D27CB9">
        <w:rPr>
          <w:rFonts w:eastAsia="Times New Roman"/>
          <w:b/>
          <w:kern w:val="0"/>
          <w:sz w:val="26"/>
          <w:szCs w:val="20"/>
          <w:lang w:eastAsia="ru-RU"/>
        </w:rPr>
        <w:t xml:space="preserve">МЕТОДИКА </w:t>
      </w:r>
    </w:p>
    <w:p w:rsidR="000A57DD" w:rsidRPr="00D27CB9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eastAsia="ru-RU"/>
        </w:rPr>
      </w:pPr>
      <w:r w:rsidRPr="00D27CB9">
        <w:rPr>
          <w:rFonts w:eastAsia="Times New Roman"/>
          <w:b/>
          <w:kern w:val="0"/>
          <w:sz w:val="26"/>
          <w:szCs w:val="20"/>
          <w:lang w:eastAsia="ru-RU"/>
        </w:rPr>
        <w:t xml:space="preserve">оценки эффективности функционирования антимонопольного комплаенса </w:t>
      </w:r>
    </w:p>
    <w:p w:rsidR="000A57DD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eastAsia="ru-RU"/>
        </w:rPr>
      </w:pPr>
      <w:r w:rsidRPr="00D27CB9">
        <w:rPr>
          <w:rFonts w:eastAsia="Times New Roman"/>
          <w:b/>
          <w:kern w:val="0"/>
          <w:sz w:val="26"/>
          <w:szCs w:val="20"/>
          <w:lang w:eastAsia="ru-RU"/>
        </w:rPr>
        <w:t xml:space="preserve">в </w:t>
      </w:r>
      <w:r w:rsidR="00622717">
        <w:rPr>
          <w:rFonts w:eastAsia="Times New Roman"/>
          <w:b/>
          <w:kern w:val="0"/>
          <w:sz w:val="26"/>
          <w:szCs w:val="20"/>
          <w:lang w:eastAsia="ru-RU"/>
        </w:rPr>
        <w:t>инспекции государственного строительного надзора</w:t>
      </w:r>
      <w:r w:rsidRPr="00D27CB9">
        <w:rPr>
          <w:rFonts w:eastAsia="Times New Roman"/>
          <w:b/>
          <w:kern w:val="0"/>
          <w:sz w:val="26"/>
          <w:szCs w:val="20"/>
          <w:lang w:eastAsia="ru-RU"/>
        </w:rPr>
        <w:t xml:space="preserve"> Калужской области </w:t>
      </w:r>
    </w:p>
    <w:p w:rsidR="000A57DD" w:rsidRPr="00D27CB9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961"/>
        <w:gridCol w:w="2835"/>
      </w:tblGrid>
      <w:tr w:rsidR="000A57DD" w:rsidRPr="00D27CB9" w:rsidTr="000038C3">
        <w:tc>
          <w:tcPr>
            <w:tcW w:w="666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№ </w:t>
            </w:r>
            <w:proofErr w:type="gramStart"/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п</w:t>
            </w:r>
            <w:proofErr w:type="gramEnd"/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Ключевые показатели эффективности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Оценка (балл)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622717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Факты выдачи </w:t>
            </w:r>
            <w:r w:rsidR="00622717">
              <w:rPr>
                <w:rFonts w:eastAsia="Times New Roman"/>
                <w:kern w:val="0"/>
                <w:sz w:val="26"/>
                <w:szCs w:val="20"/>
                <w:lang w:eastAsia="ru-RU"/>
              </w:rPr>
              <w:t>инспекции</w:t>
            </w:r>
            <w:r w:rsidRPr="003A76E5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 пре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дупреждения и (или) </w:t>
            </w:r>
            <w:r w:rsidRPr="003A76E5">
              <w:rPr>
                <w:rFonts w:eastAsia="Times New Roman"/>
                <w:kern w:val="0"/>
                <w:sz w:val="26"/>
                <w:szCs w:val="20"/>
                <w:lang w:eastAsia="ru-RU"/>
              </w:rPr>
              <w:t>решения (предписания) по резуль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татам рассмотрения </w:t>
            </w:r>
            <w:r w:rsidRPr="003A76E5">
              <w:rPr>
                <w:rFonts w:eastAsia="Times New Roman"/>
                <w:kern w:val="0"/>
                <w:sz w:val="26"/>
                <w:szCs w:val="20"/>
                <w:lang w:eastAsia="ru-RU"/>
              </w:rPr>
              <w:t>дела о нарушении антимонопольно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0</w:t>
            </w:r>
          </w:p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30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15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Более 1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0</w:t>
            </w:r>
          </w:p>
        </w:tc>
      </w:tr>
      <w:tr w:rsidR="000A57DD" w:rsidRPr="00D27CB9" w:rsidTr="000038C3">
        <w:trPr>
          <w:trHeight w:val="531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622717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недействительными</w:t>
            </w:r>
            <w:proofErr w:type="gramEnd"/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</w:t>
            </w:r>
            <w:r w:rsidR="00622717">
              <w:rPr>
                <w:rFonts w:eastAsia="Times New Roman"/>
                <w:kern w:val="0"/>
                <w:sz w:val="26"/>
                <w:szCs w:val="20"/>
                <w:lang w:eastAsia="ru-RU"/>
              </w:rPr>
              <w:t>инспекции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, е</w:t>
            </w:r>
            <w:r w:rsidR="00622717">
              <w:rPr>
                <w:rFonts w:eastAsia="Times New Roman"/>
                <w:kern w:val="0"/>
                <w:sz w:val="26"/>
                <w:szCs w:val="20"/>
                <w:lang w:eastAsia="ru-RU"/>
              </w:rPr>
              <w:t>ё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30</w:t>
            </w:r>
          </w:p>
        </w:tc>
      </w:tr>
      <w:tr w:rsidR="000A57DD" w:rsidRPr="00D27CB9" w:rsidTr="000038C3">
        <w:trPr>
          <w:trHeight w:val="850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20</w:t>
            </w:r>
          </w:p>
        </w:tc>
      </w:tr>
      <w:tr w:rsidR="000A57DD" w:rsidRPr="00D27CB9" w:rsidTr="000038C3">
        <w:trPr>
          <w:trHeight w:val="824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0</w:t>
            </w:r>
          </w:p>
        </w:tc>
      </w:tr>
      <w:tr w:rsidR="000A57DD" w:rsidRPr="00D27CB9" w:rsidTr="000038C3">
        <w:trPr>
          <w:trHeight w:val="988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622717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Жалобы на решения, действия (бездействие) </w:t>
            </w:r>
            <w:r w:rsidR="00622717">
              <w:rPr>
                <w:rFonts w:eastAsia="Times New Roman"/>
                <w:kern w:val="0"/>
                <w:sz w:val="26"/>
                <w:szCs w:val="20"/>
                <w:lang w:eastAsia="ru-RU"/>
              </w:rPr>
              <w:t>инспекции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 и (или) е</w:t>
            </w:r>
            <w:r w:rsidR="00622717">
              <w:rPr>
                <w:rFonts w:eastAsia="Times New Roman"/>
                <w:kern w:val="0"/>
                <w:sz w:val="26"/>
                <w:szCs w:val="20"/>
                <w:lang w:eastAsia="ru-RU"/>
              </w:rPr>
              <w:t>ё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 должностных лиц, ведущие к ограничению 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lastRenderedPageBreak/>
              <w:t>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10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0</w:t>
            </w:r>
          </w:p>
        </w:tc>
      </w:tr>
      <w:tr w:rsidR="000A57DD" w:rsidRPr="00D27CB9" w:rsidTr="000038C3">
        <w:trPr>
          <w:trHeight w:val="565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20</w:t>
            </w:r>
          </w:p>
        </w:tc>
      </w:tr>
      <w:tr w:rsidR="000A57DD" w:rsidRPr="00D27CB9" w:rsidTr="000038C3">
        <w:trPr>
          <w:trHeight w:val="690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0A57DD" w:rsidRPr="00D27CB9" w:rsidTr="000038C3">
        <w:trPr>
          <w:trHeight w:val="1032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3A76E5">
              <w:rPr>
                <w:rFonts w:eastAsia="Times New Roman"/>
                <w:kern w:val="0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62271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proofErr w:type="gramStart"/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Доля проектов нормативных правовых актов </w:t>
            </w:r>
            <w:r w:rsidR="00622717">
              <w:rPr>
                <w:rFonts w:eastAsia="Times New Roman"/>
                <w:kern w:val="0"/>
                <w:sz w:val="26"/>
                <w:szCs w:val="20"/>
                <w:lang w:eastAsia="ru-RU"/>
              </w:rPr>
              <w:t>инспекции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 xml:space="preserve"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</w:t>
            </w:r>
            <w:r w:rsidRPr="003A76E5">
              <w:rPr>
                <w:rFonts w:eastAsia="Times New Roman"/>
                <w:kern w:val="0"/>
                <w:sz w:val="26"/>
                <w:szCs w:val="20"/>
                <w:lang w:eastAsia="ru-RU"/>
              </w:rPr>
              <w:t>управления</w:t>
            </w: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, подлежащих прохождению такой процедуры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85% и более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10</w:t>
            </w:r>
          </w:p>
        </w:tc>
      </w:tr>
      <w:tr w:rsidR="000A57DD" w:rsidRPr="00D27CB9" w:rsidTr="000038C3">
        <w:trPr>
          <w:trHeight w:val="1032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менее 85%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eastAsia="ru-RU"/>
              </w:rPr>
              <w:t>0</w:t>
            </w:r>
          </w:p>
        </w:tc>
      </w:tr>
    </w:tbl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eastAsia="ru-RU"/>
        </w:rPr>
      </w:pPr>
    </w:p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eastAsia="ru-RU"/>
        </w:rPr>
      </w:pPr>
      <w:r w:rsidRPr="00D27CB9">
        <w:rPr>
          <w:rFonts w:eastAsia="Times New Roman"/>
          <w:kern w:val="0"/>
          <w:sz w:val="26"/>
          <w:szCs w:val="20"/>
          <w:lang w:eastAsia="ru-RU"/>
        </w:rPr>
        <w:lastRenderedPageBreak/>
        <w:t xml:space="preserve">Период, за который производится оценка, </w:t>
      </w:r>
      <w:r w:rsidRPr="00D27CB9">
        <w:rPr>
          <w:rFonts w:eastAsia="Times New Roman"/>
          <w:kern w:val="0"/>
          <w:sz w:val="26"/>
          <w:szCs w:val="20"/>
          <w:lang w:eastAsia="ru-RU"/>
        </w:rPr>
        <w:sym w:font="Symbol" w:char="F02D"/>
      </w:r>
      <w:r w:rsidRPr="00D27CB9">
        <w:rPr>
          <w:rFonts w:eastAsia="Times New Roman"/>
          <w:kern w:val="0"/>
          <w:sz w:val="26"/>
          <w:szCs w:val="20"/>
          <w:lang w:eastAsia="ru-RU"/>
        </w:rPr>
        <w:t xml:space="preserve"> календарный год.</w:t>
      </w:r>
    </w:p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eastAsia="ru-RU"/>
        </w:rPr>
      </w:pPr>
    </w:p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eastAsia="ru-RU"/>
        </w:rPr>
      </w:pPr>
      <w:r w:rsidRPr="00D27CB9">
        <w:rPr>
          <w:rFonts w:eastAsia="Times New Roman"/>
          <w:kern w:val="0"/>
          <w:sz w:val="26"/>
          <w:szCs w:val="20"/>
          <w:lang w:eastAsia="ru-RU"/>
        </w:rPr>
        <w:t>Расчет значения итогового показателя производится путем суммирования баллов: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eastAsia="ru-RU"/>
        </w:rPr>
      </w:pPr>
      <w:r w:rsidRPr="00D27CB9">
        <w:rPr>
          <w:rFonts w:eastAsia="Times New Roman"/>
          <w:kern w:val="0"/>
          <w:sz w:val="26"/>
          <w:szCs w:val="20"/>
          <w:lang w:eastAsia="ru-RU"/>
        </w:rPr>
        <w:t>высокая эффективность – от 75 до 100 баллов;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eastAsia="ru-RU"/>
        </w:rPr>
      </w:pPr>
      <w:r w:rsidRPr="00D27CB9">
        <w:rPr>
          <w:rFonts w:eastAsia="Times New Roman"/>
          <w:kern w:val="0"/>
          <w:sz w:val="26"/>
          <w:szCs w:val="20"/>
          <w:lang w:eastAsia="ru-RU"/>
        </w:rPr>
        <w:t>средняя эффективность – от 50 до 75 баллов;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eastAsia="ru-RU"/>
        </w:rPr>
      </w:pPr>
      <w:r w:rsidRPr="00D27CB9">
        <w:rPr>
          <w:rFonts w:eastAsia="Times New Roman"/>
          <w:kern w:val="0"/>
          <w:sz w:val="26"/>
          <w:szCs w:val="20"/>
          <w:lang w:eastAsia="ru-RU"/>
        </w:rPr>
        <w:t>низкая эффективность – от 25 до 50 баллов;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eastAsia="ru-RU"/>
        </w:rPr>
      </w:pPr>
      <w:r w:rsidRPr="00D27CB9">
        <w:rPr>
          <w:rFonts w:eastAsia="Times New Roman"/>
          <w:kern w:val="0"/>
          <w:sz w:val="26"/>
          <w:szCs w:val="20"/>
          <w:lang w:eastAsia="ru-RU"/>
        </w:rPr>
        <w:t>неэффективно – ниже 25 баллов.</w:t>
      </w:r>
    </w:p>
    <w:p w:rsidR="00694854" w:rsidRDefault="00694854"/>
    <w:sectPr w:rsidR="00694854" w:rsidSect="00D93AFF">
      <w:pgSz w:w="16838" w:h="11906" w:orient="landscape"/>
      <w:pgMar w:top="1418" w:right="709" w:bottom="8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3"/>
    <w:rsid w:val="000A57DD"/>
    <w:rsid w:val="004D3BB3"/>
    <w:rsid w:val="00622717"/>
    <w:rsid w:val="00694854"/>
    <w:rsid w:val="008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Мишакова Екатерина Николаевна</dc:creator>
  <cp:keywords/>
  <dc:description/>
  <cp:lastModifiedBy>Александр Фомичёв</cp:lastModifiedBy>
  <cp:revision>4</cp:revision>
  <dcterms:created xsi:type="dcterms:W3CDTF">2020-01-31T07:05:00Z</dcterms:created>
  <dcterms:modified xsi:type="dcterms:W3CDTF">2022-02-21T13:35:00Z</dcterms:modified>
</cp:coreProperties>
</file>